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FAA5" w14:textId="77777777" w:rsidR="007E07E0" w:rsidRDefault="007E07E0">
      <w:pPr>
        <w:sectPr w:rsidR="007E07E0" w:rsidSect="00F9475D">
          <w:headerReference w:type="default" r:id="rId8"/>
          <w:footerReference w:type="even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C7B48D" w14:textId="57D380BC" w:rsidR="00DB12E3" w:rsidRDefault="00DB12E3" w:rsidP="00C742D1">
      <w:pPr>
        <w:spacing w:after="0"/>
      </w:pPr>
      <w:r w:rsidRPr="004B5FD5">
        <w:rPr>
          <w:b/>
        </w:rPr>
        <w:lastRenderedPageBreak/>
        <w:t xml:space="preserve">Example </w:t>
      </w:r>
      <w:r>
        <w:rPr>
          <w:b/>
        </w:rPr>
        <w:t xml:space="preserve">for beginning of </w:t>
      </w:r>
      <w:r w:rsidRPr="004B5FD5">
        <w:rPr>
          <w:b/>
        </w:rPr>
        <w:t>Action Plan</w:t>
      </w:r>
      <w:r>
        <w:rPr>
          <w:b/>
        </w:rPr>
        <w:t xml:space="preserve"> A – Focus Area: </w:t>
      </w:r>
      <w:r>
        <w:rPr>
          <w:bCs/>
        </w:rPr>
        <w:t xml:space="preserve">EYFS/Primary </w:t>
      </w:r>
      <w:r>
        <w:t>Internal and External Communicatio</w:t>
      </w:r>
      <w:r w:rsidR="00C742D1">
        <w:t>ns</w:t>
      </w:r>
    </w:p>
    <w:p w14:paraId="2C276A79" w14:textId="77777777" w:rsidR="00C742D1" w:rsidRPr="00C742D1" w:rsidRDefault="00C742D1" w:rsidP="00C742D1">
      <w:pPr>
        <w:spacing w:after="0"/>
      </w:pPr>
    </w:p>
    <w:tbl>
      <w:tblPr>
        <w:tblStyle w:val="TableGrid"/>
        <w:tblW w:w="155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44"/>
        <w:gridCol w:w="2877"/>
        <w:gridCol w:w="1842"/>
        <w:gridCol w:w="1985"/>
        <w:gridCol w:w="1984"/>
        <w:gridCol w:w="1560"/>
        <w:gridCol w:w="1416"/>
        <w:gridCol w:w="1945"/>
      </w:tblGrid>
      <w:tr w:rsidR="00DB12E3" w:rsidRPr="003F1878" w14:paraId="6A48B344" w14:textId="77777777" w:rsidTr="00CB0268">
        <w:tc>
          <w:tcPr>
            <w:tcW w:w="1944" w:type="dxa"/>
          </w:tcPr>
          <w:p w14:paraId="23665E8A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Issues to be solved</w:t>
            </w:r>
          </w:p>
        </w:tc>
        <w:tc>
          <w:tcPr>
            <w:tcW w:w="2877" w:type="dxa"/>
          </w:tcPr>
          <w:p w14:paraId="29459B64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Action</w:t>
            </w:r>
          </w:p>
        </w:tc>
        <w:tc>
          <w:tcPr>
            <w:tcW w:w="1842" w:type="dxa"/>
          </w:tcPr>
          <w:p w14:paraId="6E671B33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Why this action will be effective</w:t>
            </w:r>
          </w:p>
        </w:tc>
        <w:tc>
          <w:tcPr>
            <w:tcW w:w="1985" w:type="dxa"/>
          </w:tcPr>
          <w:p w14:paraId="048B657F" w14:textId="77777777" w:rsidR="00DB12E3" w:rsidRPr="003F1878" w:rsidRDefault="00DB12E3" w:rsidP="00E35832">
            <w:pPr>
              <w:rPr>
                <w:b/>
                <w:bCs/>
              </w:rPr>
            </w:pPr>
            <w:r>
              <w:rPr>
                <w:b/>
                <w:bCs/>
              </w:rPr>
              <w:t>Risks and barriers</w:t>
            </w:r>
          </w:p>
        </w:tc>
        <w:tc>
          <w:tcPr>
            <w:tcW w:w="1984" w:type="dxa"/>
          </w:tcPr>
          <w:p w14:paraId="72C17740" w14:textId="77777777" w:rsidR="00DB12E3" w:rsidRPr="003F1878" w:rsidRDefault="00DB12E3" w:rsidP="00E35832">
            <w:pPr>
              <w:rPr>
                <w:b/>
                <w:bCs/>
              </w:rPr>
            </w:pPr>
            <w:r>
              <w:rPr>
                <w:b/>
                <w:bCs/>
              </w:rPr>
              <w:t>Ideas for mitigation</w:t>
            </w:r>
          </w:p>
        </w:tc>
        <w:tc>
          <w:tcPr>
            <w:tcW w:w="1560" w:type="dxa"/>
          </w:tcPr>
          <w:p w14:paraId="0308C259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Time scale</w:t>
            </w:r>
          </w:p>
        </w:tc>
        <w:tc>
          <w:tcPr>
            <w:tcW w:w="1416" w:type="dxa"/>
          </w:tcPr>
          <w:p w14:paraId="0214799F" w14:textId="77777777" w:rsidR="00DB12E3" w:rsidRPr="003F1878" w:rsidRDefault="00DB12E3" w:rsidP="00E35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  <w:r w:rsidRPr="003F1878">
              <w:rPr>
                <w:b/>
                <w:bCs/>
              </w:rPr>
              <w:t>Responsib</w:t>
            </w:r>
            <w:r>
              <w:rPr>
                <w:b/>
                <w:bCs/>
              </w:rPr>
              <w:t>le</w:t>
            </w:r>
          </w:p>
        </w:tc>
        <w:tc>
          <w:tcPr>
            <w:tcW w:w="1945" w:type="dxa"/>
          </w:tcPr>
          <w:p w14:paraId="668A7F76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Measure of success</w:t>
            </w:r>
          </w:p>
        </w:tc>
      </w:tr>
      <w:tr w:rsidR="00DB12E3" w14:paraId="4D605F6B" w14:textId="77777777" w:rsidTr="00CB0268">
        <w:trPr>
          <w:trHeight w:val="2064"/>
        </w:trPr>
        <w:tc>
          <w:tcPr>
            <w:tcW w:w="1944" w:type="dxa"/>
          </w:tcPr>
          <w:p w14:paraId="0212355D" w14:textId="37E7D5AE" w:rsidR="00DB12E3" w:rsidRDefault="00DB12E3" w:rsidP="00E35832">
            <w:r>
              <w:t xml:space="preserve">Lack of awareness of some staff of </w:t>
            </w:r>
            <w:r w:rsidR="008B6F6F">
              <w:t xml:space="preserve">gender </w:t>
            </w:r>
            <w:r>
              <w:t xml:space="preserve">biased language in internal and external communications. </w:t>
            </w:r>
          </w:p>
          <w:p w14:paraId="0F95D55A" w14:textId="77777777" w:rsidR="00DB12E3" w:rsidRDefault="00DB12E3" w:rsidP="00E35832"/>
          <w:p w14:paraId="0226A9C1" w14:textId="77777777" w:rsidR="00DB12E3" w:rsidRDefault="00DB12E3" w:rsidP="00E35832"/>
        </w:tc>
        <w:tc>
          <w:tcPr>
            <w:tcW w:w="2877" w:type="dxa"/>
          </w:tcPr>
          <w:p w14:paraId="204B033E" w14:textId="5F3E8140" w:rsidR="00DB12E3" w:rsidRDefault="008B6F6F" w:rsidP="00E35832">
            <w:pPr>
              <w:spacing w:after="0" w:line="240" w:lineRule="auto"/>
            </w:pPr>
            <w:r w:rsidRPr="008B6F6F">
              <w:t>Provide training to all staff to highlight gender biased language and to ensure that staff understand how to communicate consistently with language free from gender bias.</w:t>
            </w:r>
          </w:p>
        </w:tc>
        <w:tc>
          <w:tcPr>
            <w:tcW w:w="1842" w:type="dxa"/>
          </w:tcPr>
          <w:p w14:paraId="78C828DB" w14:textId="77777777" w:rsidR="00DB12E3" w:rsidRDefault="00DB12E3" w:rsidP="00E35832">
            <w:r>
              <w:t>This will raise awareness and give staff the opportunity to reflect on their language use and its implications.</w:t>
            </w:r>
          </w:p>
        </w:tc>
        <w:tc>
          <w:tcPr>
            <w:tcW w:w="1985" w:type="dxa"/>
          </w:tcPr>
          <w:p w14:paraId="31D44768" w14:textId="77777777" w:rsidR="00DB12E3" w:rsidRDefault="00DB12E3" w:rsidP="00E35832">
            <w:r>
              <w:t>Staff are unaware of their own bias.</w:t>
            </w:r>
          </w:p>
          <w:p w14:paraId="37C41F59" w14:textId="77777777" w:rsidR="00DB12E3" w:rsidRDefault="00DB12E3" w:rsidP="00E35832">
            <w:r>
              <w:t>Staff do not think it is important.</w:t>
            </w:r>
          </w:p>
          <w:p w14:paraId="79F36681" w14:textId="77777777" w:rsidR="00DB12E3" w:rsidRDefault="00DB12E3" w:rsidP="00E35832">
            <w:r>
              <w:t>Staff</w:t>
            </w:r>
            <w:r w:rsidRPr="00A165D8">
              <w:t xml:space="preserve"> will be conscious of language to start</w:t>
            </w:r>
            <w:r>
              <w:t xml:space="preserve"> with</w:t>
            </w:r>
            <w:r w:rsidRPr="00A165D8">
              <w:t xml:space="preserve"> and then slip back into subconscious language associated with </w:t>
            </w:r>
            <w:r>
              <w:t xml:space="preserve">gender </w:t>
            </w:r>
            <w:r w:rsidRPr="00A165D8">
              <w:t>stereotyping.</w:t>
            </w:r>
          </w:p>
        </w:tc>
        <w:tc>
          <w:tcPr>
            <w:tcW w:w="1984" w:type="dxa"/>
          </w:tcPr>
          <w:p w14:paraId="09B06684" w14:textId="77777777" w:rsidR="00DB12E3" w:rsidRDefault="00DB12E3" w:rsidP="00E35832">
            <w:r>
              <w:t>Provide examples of gendered communications.</w:t>
            </w:r>
          </w:p>
          <w:p w14:paraId="4F598EF9" w14:textId="77777777" w:rsidR="00DB12E3" w:rsidRDefault="00DB12E3" w:rsidP="00E35832">
            <w:r>
              <w:t>Share evidence of impact of gendered language.</w:t>
            </w:r>
          </w:p>
          <w:p w14:paraId="4AC69369" w14:textId="77777777" w:rsidR="00DB12E3" w:rsidRDefault="00DB12E3" w:rsidP="00E35832">
            <w:r>
              <w:t xml:space="preserve">Provide further staff meetings, time for reflection, observations. </w:t>
            </w:r>
          </w:p>
          <w:p w14:paraId="39CEC910" w14:textId="3F11F245" w:rsidR="008B6F6F" w:rsidRDefault="008B6F6F" w:rsidP="00E35832">
            <w:r>
              <w:t>Provide examples of impact through parent and student voice</w:t>
            </w:r>
          </w:p>
        </w:tc>
        <w:tc>
          <w:tcPr>
            <w:tcW w:w="1560" w:type="dxa"/>
          </w:tcPr>
          <w:p w14:paraId="4D044626" w14:textId="77777777" w:rsidR="00DB12E3" w:rsidRDefault="00DB12E3" w:rsidP="00E35832">
            <w:r>
              <w:t>Over next academic year.</w:t>
            </w:r>
          </w:p>
        </w:tc>
        <w:tc>
          <w:tcPr>
            <w:tcW w:w="1416" w:type="dxa"/>
          </w:tcPr>
          <w:p w14:paraId="589C7325" w14:textId="77777777" w:rsidR="008B6F6F" w:rsidRDefault="008B6F6F" w:rsidP="008B6F6F">
            <w:r>
              <w:t>Principal, Governors, CPD lead.</w:t>
            </w:r>
          </w:p>
          <w:p w14:paraId="0DF704D0" w14:textId="77777777" w:rsidR="00DB12E3" w:rsidRDefault="00DB12E3" w:rsidP="00E35832"/>
        </w:tc>
        <w:tc>
          <w:tcPr>
            <w:tcW w:w="1945" w:type="dxa"/>
          </w:tcPr>
          <w:p w14:paraId="58804EEA" w14:textId="4733BDA1" w:rsidR="00DB12E3" w:rsidRDefault="00DB12E3" w:rsidP="00E35832">
            <w:r>
              <w:t xml:space="preserve">Staff have acted upon the training and identified where their language use is gender biased and planned actions to remedy this. Audit of language use carried out before </w:t>
            </w:r>
            <w:r w:rsidR="008B6F6F">
              <w:t xml:space="preserve">and after </w:t>
            </w:r>
            <w:r>
              <w:t xml:space="preserve">intervention at </w:t>
            </w:r>
            <w:r w:rsidR="008B6F6F">
              <w:t xml:space="preserve">the </w:t>
            </w:r>
            <w:r>
              <w:t xml:space="preserve">end of academic year. </w:t>
            </w:r>
          </w:p>
        </w:tc>
      </w:tr>
      <w:tr w:rsidR="00DB12E3" w14:paraId="7B0EB196" w14:textId="77777777" w:rsidTr="00CB0268">
        <w:trPr>
          <w:trHeight w:val="715"/>
        </w:trPr>
        <w:tc>
          <w:tcPr>
            <w:tcW w:w="1944" w:type="dxa"/>
          </w:tcPr>
          <w:p w14:paraId="053961BE" w14:textId="002B1505" w:rsidR="00DB12E3" w:rsidRDefault="00DB12E3" w:rsidP="00E35832">
            <w:r>
              <w:t xml:space="preserve">Images in literature </w:t>
            </w:r>
            <w:r w:rsidR="008B6F6F">
              <w:t xml:space="preserve">in classrooms </w:t>
            </w:r>
            <w:r>
              <w:t>and some images/quotes on display are gender biased.</w:t>
            </w:r>
          </w:p>
          <w:p w14:paraId="05676FA6" w14:textId="77777777" w:rsidR="00DB12E3" w:rsidRDefault="00DB12E3" w:rsidP="00E35832"/>
        </w:tc>
        <w:tc>
          <w:tcPr>
            <w:tcW w:w="2877" w:type="dxa"/>
          </w:tcPr>
          <w:p w14:paraId="6C32DA91" w14:textId="7E9F5706" w:rsidR="00DB12E3" w:rsidRDefault="00DB12E3" w:rsidP="00E35832">
            <w:pPr>
              <w:spacing w:after="0" w:line="240" w:lineRule="auto"/>
            </w:pPr>
            <w:r>
              <w:t>Audit images in current literature</w:t>
            </w:r>
            <w:r w:rsidR="002B4E56">
              <w:t xml:space="preserve"> including gender intersectionality (interaction of gender with ethnicity, disability, sexuality etc.)</w:t>
            </w:r>
          </w:p>
          <w:p w14:paraId="75F7CD68" w14:textId="77777777" w:rsidR="00DB12E3" w:rsidRDefault="00DB12E3" w:rsidP="00E35832">
            <w:pPr>
              <w:spacing w:after="0" w:line="240" w:lineRule="auto"/>
            </w:pPr>
            <w:r>
              <w:t>Audit images and quotes on display on walls and replace where necessary.</w:t>
            </w:r>
          </w:p>
          <w:p w14:paraId="3E8FFBCD" w14:textId="77777777" w:rsidR="00DB12E3" w:rsidRDefault="00DB12E3" w:rsidP="00E35832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1842" w:type="dxa"/>
          </w:tcPr>
          <w:p w14:paraId="34BBCC67" w14:textId="2A7D6B42" w:rsidR="00DB12E3" w:rsidRDefault="003F6D20" w:rsidP="00E35832">
            <w:pPr>
              <w:spacing w:after="0" w:line="240" w:lineRule="auto"/>
            </w:pPr>
            <w:r>
              <w:t xml:space="preserve">This will create a </w:t>
            </w:r>
            <w:r w:rsidR="002B4E56">
              <w:t>non-gender</w:t>
            </w:r>
            <w:r>
              <w:t xml:space="preserve"> -biased environment to support the gender equity work as a school and raise pupil / staff awareness of the issues. </w:t>
            </w:r>
          </w:p>
        </w:tc>
        <w:tc>
          <w:tcPr>
            <w:tcW w:w="1985" w:type="dxa"/>
          </w:tcPr>
          <w:p w14:paraId="239D5899" w14:textId="77777777" w:rsidR="00DB12E3" w:rsidRDefault="00DB12E3" w:rsidP="00E35832">
            <w:r>
              <w:t xml:space="preserve">Lack of staff time to do this. </w:t>
            </w:r>
          </w:p>
        </w:tc>
        <w:tc>
          <w:tcPr>
            <w:tcW w:w="1984" w:type="dxa"/>
          </w:tcPr>
          <w:p w14:paraId="665C9C81" w14:textId="77777777" w:rsidR="00DB12E3" w:rsidRDefault="00DB12E3" w:rsidP="00E35832">
            <w:r>
              <w:t xml:space="preserve">Start in each classroom, involving pupils. Gradually change temporary displays over time. </w:t>
            </w:r>
          </w:p>
          <w:p w14:paraId="09ECE02D" w14:textId="77777777" w:rsidR="00DB12E3" w:rsidRDefault="00DB12E3" w:rsidP="00E35832">
            <w:r>
              <w:t xml:space="preserve">Recruit gender equality pupil ambassadors to </w:t>
            </w:r>
            <w:r>
              <w:lastRenderedPageBreak/>
              <w:t>look out for gender bias.</w:t>
            </w:r>
          </w:p>
        </w:tc>
        <w:tc>
          <w:tcPr>
            <w:tcW w:w="1560" w:type="dxa"/>
          </w:tcPr>
          <w:p w14:paraId="5F60D39F" w14:textId="77777777" w:rsidR="00DB12E3" w:rsidRDefault="00DB12E3" w:rsidP="00E35832">
            <w:r>
              <w:lastRenderedPageBreak/>
              <w:t>Over next academic year</w:t>
            </w:r>
          </w:p>
        </w:tc>
        <w:tc>
          <w:tcPr>
            <w:tcW w:w="1416" w:type="dxa"/>
          </w:tcPr>
          <w:p w14:paraId="20A35A39" w14:textId="77777777" w:rsidR="00DB12E3" w:rsidRDefault="00DB12E3" w:rsidP="00E35832">
            <w:r>
              <w:t>All staff</w:t>
            </w:r>
          </w:p>
        </w:tc>
        <w:tc>
          <w:tcPr>
            <w:tcW w:w="1945" w:type="dxa"/>
          </w:tcPr>
          <w:p w14:paraId="35C8FFEB" w14:textId="768D59B7" w:rsidR="00DB12E3" w:rsidRDefault="005B4413" w:rsidP="00E35832">
            <w:r>
              <w:t xml:space="preserve">Audits carried out. Books/images removed, replaced or used for discussion. Follow up audit at end of academic year shows reduction in gender biased literature and displays. </w:t>
            </w:r>
          </w:p>
        </w:tc>
      </w:tr>
      <w:tr w:rsidR="00DB12E3" w14:paraId="083F19F2" w14:textId="77777777" w:rsidTr="00CB0268">
        <w:trPr>
          <w:trHeight w:val="715"/>
        </w:trPr>
        <w:tc>
          <w:tcPr>
            <w:tcW w:w="1944" w:type="dxa"/>
          </w:tcPr>
          <w:p w14:paraId="7DBFB1D0" w14:textId="77777777" w:rsidR="00DB12E3" w:rsidRDefault="00DB12E3" w:rsidP="00E35832">
            <w:r>
              <w:t>Some external communications are gender biased.</w:t>
            </w:r>
          </w:p>
          <w:p w14:paraId="3E156F2D" w14:textId="77777777" w:rsidR="00DB12E3" w:rsidRDefault="00DB12E3" w:rsidP="00E35832"/>
        </w:tc>
        <w:tc>
          <w:tcPr>
            <w:tcW w:w="2877" w:type="dxa"/>
          </w:tcPr>
          <w:p w14:paraId="5756D981" w14:textId="77777777" w:rsidR="00DB12E3" w:rsidRDefault="00DB12E3" w:rsidP="00E35832">
            <w:pPr>
              <w:spacing w:after="0" w:line="240" w:lineRule="auto"/>
            </w:pPr>
            <w:r>
              <w:t>Highlight any biased language in current literature used by the school and create new documents with neutral language.</w:t>
            </w:r>
          </w:p>
          <w:p w14:paraId="2B24745E" w14:textId="77777777" w:rsidR="005B4413" w:rsidRDefault="005B4413" w:rsidP="00E35832">
            <w:pPr>
              <w:spacing w:after="0" w:line="240" w:lineRule="auto"/>
            </w:pPr>
          </w:p>
          <w:p w14:paraId="4634BF8D" w14:textId="77777777" w:rsidR="005B4413" w:rsidRDefault="00DB12E3" w:rsidP="00E35832">
            <w:pPr>
              <w:spacing w:after="0" w:line="240" w:lineRule="auto"/>
            </w:pPr>
            <w:r>
              <w:t xml:space="preserve">Create guidelines to reduce gender bias in external communications. </w:t>
            </w:r>
          </w:p>
          <w:p w14:paraId="13611A20" w14:textId="77777777" w:rsidR="005B4413" w:rsidRDefault="005B4413" w:rsidP="00E35832">
            <w:pPr>
              <w:spacing w:after="0" w:line="240" w:lineRule="auto"/>
            </w:pPr>
          </w:p>
          <w:p w14:paraId="39E300A2" w14:textId="70A56002" w:rsidR="00DB12E3" w:rsidRDefault="00DB12E3" w:rsidP="00E35832">
            <w:pPr>
              <w:spacing w:after="0" w:line="240" w:lineRule="auto"/>
            </w:pPr>
            <w:r>
              <w:t xml:space="preserve">Enable all office staff to be confident in proofreading external communications for gender bias. </w:t>
            </w:r>
          </w:p>
          <w:p w14:paraId="549C075D" w14:textId="77777777" w:rsidR="00DB12E3" w:rsidRDefault="00DB12E3" w:rsidP="00E35832">
            <w:pPr>
              <w:spacing w:after="0" w:line="240" w:lineRule="auto"/>
            </w:pPr>
          </w:p>
        </w:tc>
        <w:tc>
          <w:tcPr>
            <w:tcW w:w="1842" w:type="dxa"/>
          </w:tcPr>
          <w:p w14:paraId="00D363B0" w14:textId="14457E1F" w:rsidR="00DB12E3" w:rsidRDefault="003F6D20" w:rsidP="003F6D20">
            <w:pPr>
              <w:spacing w:after="0" w:line="240" w:lineRule="auto"/>
            </w:pPr>
            <w:r>
              <w:t>External communications will be consistent with gender equity work within schools.</w:t>
            </w:r>
          </w:p>
        </w:tc>
        <w:tc>
          <w:tcPr>
            <w:tcW w:w="1985" w:type="dxa"/>
          </w:tcPr>
          <w:p w14:paraId="193872CC" w14:textId="77777777" w:rsidR="00DB12E3" w:rsidRDefault="007F3557" w:rsidP="00E35832">
            <w:r>
              <w:t xml:space="preserve">Office staff do not think this is a priority. </w:t>
            </w:r>
          </w:p>
          <w:p w14:paraId="48A415CD" w14:textId="7C7348A5" w:rsidR="007F3557" w:rsidRDefault="007F3557" w:rsidP="00E35832">
            <w:r>
              <w:t xml:space="preserve">Lack of time. </w:t>
            </w:r>
          </w:p>
        </w:tc>
        <w:tc>
          <w:tcPr>
            <w:tcW w:w="1984" w:type="dxa"/>
          </w:tcPr>
          <w:p w14:paraId="199EB354" w14:textId="77777777" w:rsidR="00DB12E3" w:rsidRDefault="007F3557" w:rsidP="00E35832">
            <w:r>
              <w:t>Ensure time given to awareness raising of office staff through discussion with headteacher/ gender equality coordinator.</w:t>
            </w:r>
          </w:p>
          <w:p w14:paraId="59E54286" w14:textId="7EC1EAA5" w:rsidR="007F3557" w:rsidRDefault="007F3557" w:rsidP="00E35832">
            <w:r>
              <w:t xml:space="preserve">Ensure guidelines are clear, accessible and useful. </w:t>
            </w:r>
          </w:p>
        </w:tc>
        <w:tc>
          <w:tcPr>
            <w:tcW w:w="1560" w:type="dxa"/>
          </w:tcPr>
          <w:p w14:paraId="4B35E6F2" w14:textId="50B5175C" w:rsidR="00DB12E3" w:rsidRDefault="007F3557" w:rsidP="00E35832">
            <w:r>
              <w:t>Over next academic year.</w:t>
            </w:r>
          </w:p>
        </w:tc>
        <w:tc>
          <w:tcPr>
            <w:tcW w:w="1416" w:type="dxa"/>
          </w:tcPr>
          <w:p w14:paraId="6DE9AAB4" w14:textId="02B49E6C" w:rsidR="00DB12E3" w:rsidRDefault="003F6D20" w:rsidP="00E35832">
            <w:r>
              <w:t>Head teacher / gender equality coordinator and  o</w:t>
            </w:r>
            <w:r w:rsidR="00DB12E3">
              <w:t>ffice staff</w:t>
            </w:r>
            <w:r>
              <w:t>.</w:t>
            </w:r>
          </w:p>
        </w:tc>
        <w:tc>
          <w:tcPr>
            <w:tcW w:w="1945" w:type="dxa"/>
          </w:tcPr>
          <w:p w14:paraId="39EFFCDC" w14:textId="1E7C19C6" w:rsidR="005B4413" w:rsidRDefault="005B4413" w:rsidP="00E35832">
            <w:r>
              <w:t>Audit of school newsletters sent over the past 8 weeks for number of boys/girls mentioned and the type of achievements celebrated – compare when new guidelines embedded.</w:t>
            </w:r>
          </w:p>
          <w:p w14:paraId="7A7694D1" w14:textId="77777777" w:rsidR="00DB12E3" w:rsidRDefault="005B4413" w:rsidP="00E35832">
            <w:r>
              <w:t>Guidelines created for creating external communications to include consistent style across school but also gendered words to avoid using and gender neutral alternatives.</w:t>
            </w:r>
          </w:p>
          <w:p w14:paraId="38469E99" w14:textId="388AFF92" w:rsidR="005B4413" w:rsidRDefault="005B4413" w:rsidP="00E35832">
            <w:r>
              <w:t xml:space="preserve">All office staff are confident in proofreading external </w:t>
            </w:r>
            <w:r>
              <w:lastRenderedPageBreak/>
              <w:t>communications for gender bias.</w:t>
            </w:r>
          </w:p>
        </w:tc>
      </w:tr>
      <w:tr w:rsidR="00DB12E3" w14:paraId="1709A814" w14:textId="77777777" w:rsidTr="00E35832">
        <w:trPr>
          <w:trHeight w:val="715"/>
        </w:trPr>
        <w:tc>
          <w:tcPr>
            <w:tcW w:w="15553" w:type="dxa"/>
            <w:gridSpan w:val="8"/>
          </w:tcPr>
          <w:p w14:paraId="0F56FBE1" w14:textId="06E4FA1A" w:rsidR="00DB12E3" w:rsidRPr="007E07E0" w:rsidRDefault="00DB12E3" w:rsidP="00CB0268">
            <w:pPr>
              <w:spacing w:after="0"/>
              <w:jc w:val="both"/>
              <w:rPr>
                <w:b/>
              </w:rPr>
            </w:pPr>
            <w:r w:rsidRPr="004B5FD5">
              <w:rPr>
                <w:b/>
              </w:rPr>
              <w:lastRenderedPageBreak/>
              <w:t xml:space="preserve">Example </w:t>
            </w:r>
            <w:r>
              <w:rPr>
                <w:b/>
              </w:rPr>
              <w:t xml:space="preserve">for beginning of </w:t>
            </w:r>
            <w:r w:rsidRPr="004B5FD5">
              <w:rPr>
                <w:b/>
              </w:rPr>
              <w:t>Action Plan</w:t>
            </w:r>
            <w:r>
              <w:rPr>
                <w:b/>
              </w:rPr>
              <w:t xml:space="preserve"> B – Focus Area: </w:t>
            </w:r>
            <w:r w:rsidR="00D54138">
              <w:rPr>
                <w:bCs/>
              </w:rPr>
              <w:t xml:space="preserve">Secondary </w:t>
            </w:r>
            <w:r w:rsidR="00D54138">
              <w:t>Progression, choices and jobs</w:t>
            </w:r>
          </w:p>
        </w:tc>
      </w:tr>
      <w:tr w:rsidR="00DB12E3" w14:paraId="789D4EBD" w14:textId="77777777" w:rsidTr="00CB0268">
        <w:trPr>
          <w:trHeight w:val="715"/>
        </w:trPr>
        <w:tc>
          <w:tcPr>
            <w:tcW w:w="1944" w:type="dxa"/>
          </w:tcPr>
          <w:p w14:paraId="6881D53A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Issues to be solved</w:t>
            </w:r>
          </w:p>
        </w:tc>
        <w:tc>
          <w:tcPr>
            <w:tcW w:w="2877" w:type="dxa"/>
          </w:tcPr>
          <w:p w14:paraId="57DDFEFA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Action</w:t>
            </w:r>
          </w:p>
        </w:tc>
        <w:tc>
          <w:tcPr>
            <w:tcW w:w="1842" w:type="dxa"/>
          </w:tcPr>
          <w:p w14:paraId="7A8BAA5D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Why this action will be effective</w:t>
            </w:r>
          </w:p>
        </w:tc>
        <w:tc>
          <w:tcPr>
            <w:tcW w:w="1985" w:type="dxa"/>
          </w:tcPr>
          <w:p w14:paraId="5B13A10D" w14:textId="77777777" w:rsidR="00DB12E3" w:rsidRPr="003F1878" w:rsidRDefault="00DB12E3" w:rsidP="00E35832">
            <w:pPr>
              <w:rPr>
                <w:b/>
                <w:bCs/>
              </w:rPr>
            </w:pPr>
            <w:r>
              <w:rPr>
                <w:b/>
                <w:bCs/>
              </w:rPr>
              <w:t>Risks and barriers</w:t>
            </w:r>
          </w:p>
        </w:tc>
        <w:tc>
          <w:tcPr>
            <w:tcW w:w="1984" w:type="dxa"/>
          </w:tcPr>
          <w:p w14:paraId="1B1665E3" w14:textId="77777777" w:rsidR="00DB12E3" w:rsidRPr="003F1878" w:rsidRDefault="00DB12E3" w:rsidP="00E35832">
            <w:pPr>
              <w:rPr>
                <w:b/>
                <w:bCs/>
              </w:rPr>
            </w:pPr>
            <w:r>
              <w:rPr>
                <w:b/>
                <w:bCs/>
              </w:rPr>
              <w:t>Ideas for mitigation</w:t>
            </w:r>
          </w:p>
        </w:tc>
        <w:tc>
          <w:tcPr>
            <w:tcW w:w="1560" w:type="dxa"/>
          </w:tcPr>
          <w:p w14:paraId="454F7A19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Time scale</w:t>
            </w:r>
          </w:p>
        </w:tc>
        <w:tc>
          <w:tcPr>
            <w:tcW w:w="1416" w:type="dxa"/>
          </w:tcPr>
          <w:p w14:paraId="150BF99C" w14:textId="77777777" w:rsidR="00DB12E3" w:rsidRPr="003F1878" w:rsidRDefault="00DB12E3" w:rsidP="00E358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People </w:t>
            </w:r>
            <w:r w:rsidRPr="003F1878">
              <w:rPr>
                <w:b/>
                <w:bCs/>
              </w:rPr>
              <w:t>Responsib</w:t>
            </w:r>
            <w:r>
              <w:rPr>
                <w:b/>
                <w:bCs/>
              </w:rPr>
              <w:t>le</w:t>
            </w:r>
          </w:p>
        </w:tc>
        <w:tc>
          <w:tcPr>
            <w:tcW w:w="1945" w:type="dxa"/>
          </w:tcPr>
          <w:p w14:paraId="07739810" w14:textId="77777777" w:rsidR="00DB12E3" w:rsidRPr="003F1878" w:rsidRDefault="00DB12E3" w:rsidP="00E35832">
            <w:pPr>
              <w:rPr>
                <w:b/>
                <w:bCs/>
              </w:rPr>
            </w:pPr>
            <w:r w:rsidRPr="003F1878">
              <w:rPr>
                <w:b/>
                <w:bCs/>
              </w:rPr>
              <w:t>Measure of success</w:t>
            </w:r>
          </w:p>
        </w:tc>
      </w:tr>
      <w:tr w:rsidR="00DC10BC" w14:paraId="78D312A1" w14:textId="77777777" w:rsidTr="00CB0268">
        <w:trPr>
          <w:trHeight w:val="1899"/>
        </w:trPr>
        <w:tc>
          <w:tcPr>
            <w:tcW w:w="1944" w:type="dxa"/>
          </w:tcPr>
          <w:p w14:paraId="39940812" w14:textId="77777777" w:rsidR="00DC10BC" w:rsidRDefault="00DC10BC" w:rsidP="00E35832">
            <w:r>
              <w:t>Students exposed to stereotyped, narrow range of careers.</w:t>
            </w:r>
          </w:p>
          <w:p w14:paraId="45E299F4" w14:textId="4695AF0D" w:rsidR="00DC10BC" w:rsidRDefault="00DC10BC" w:rsidP="00CB0268"/>
        </w:tc>
        <w:tc>
          <w:tcPr>
            <w:tcW w:w="2877" w:type="dxa"/>
          </w:tcPr>
          <w:p w14:paraId="04487863" w14:textId="251B6B1A" w:rsidR="00DC10BC" w:rsidRDefault="00DC10BC" w:rsidP="00E35832">
            <w:pPr>
              <w:spacing w:after="0" w:line="240" w:lineRule="auto"/>
            </w:pPr>
            <w:r>
              <w:t>Careers policy: school programme includes gender- audited provision for every year group e.g.</w:t>
            </w:r>
          </w:p>
          <w:p w14:paraId="79EFF502" w14:textId="77777777" w:rsidR="00DC10BC" w:rsidRDefault="00DC10BC" w:rsidP="00CB026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Y7 introducing career paths, employability skills + assemblies with external speakers</w:t>
            </w:r>
          </w:p>
          <w:p w14:paraId="14EA700B" w14:textId="77777777" w:rsidR="00DC10BC" w:rsidRDefault="00DC10BC" w:rsidP="00CB026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Y8 labour market and gender bias + workplace visits</w:t>
            </w:r>
          </w:p>
          <w:p w14:paraId="2CC6717B" w14:textId="77777777" w:rsidR="00DC10BC" w:rsidRDefault="00DC10BC" w:rsidP="00CB026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Y9 researching career paths; choosing options +external speakers</w:t>
            </w:r>
          </w:p>
          <w:p w14:paraId="336DFEB0" w14:textId="77777777" w:rsidR="00DC10BC" w:rsidRDefault="00DC10BC" w:rsidP="00CB026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Y10 writing CVs, interviews re post 16 choices + work experience</w:t>
            </w:r>
          </w:p>
          <w:p w14:paraId="209CFB27" w14:textId="3A787CDB" w:rsidR="00DC10BC" w:rsidRDefault="00DC10BC" w:rsidP="00CB0268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Y11 destinations and aspirations + careers fair in school</w:t>
            </w:r>
          </w:p>
        </w:tc>
        <w:tc>
          <w:tcPr>
            <w:tcW w:w="1842" w:type="dxa"/>
          </w:tcPr>
          <w:p w14:paraId="415BD791" w14:textId="5FF50637" w:rsidR="00DC10BC" w:rsidRDefault="00DC10BC" w:rsidP="00E35832">
            <w:pPr>
              <w:spacing w:after="0" w:line="240" w:lineRule="auto"/>
            </w:pPr>
            <w:r>
              <w:t>Students will be able to make choices based on aspirations and ability, not gender.</w:t>
            </w:r>
          </w:p>
        </w:tc>
        <w:tc>
          <w:tcPr>
            <w:tcW w:w="1985" w:type="dxa"/>
            <w:vMerge w:val="restart"/>
          </w:tcPr>
          <w:p w14:paraId="2C1D348A" w14:textId="77777777" w:rsidR="00DC10BC" w:rsidRDefault="00DC10BC" w:rsidP="00E35832">
            <w:r>
              <w:t>Careers are seen as lower priority than academic study</w:t>
            </w:r>
          </w:p>
          <w:p w14:paraId="735ECC10" w14:textId="77777777" w:rsidR="00DC10BC" w:rsidRDefault="00DC10BC" w:rsidP="00E35832">
            <w:r>
              <w:t>Limited staffing and resources</w:t>
            </w:r>
          </w:p>
          <w:p w14:paraId="7B69ABB1" w14:textId="00CDE1D8" w:rsidR="00DC10BC" w:rsidRDefault="00DC10BC" w:rsidP="00E35832">
            <w:r>
              <w:t>Increased workload</w:t>
            </w:r>
          </w:p>
        </w:tc>
        <w:tc>
          <w:tcPr>
            <w:tcW w:w="1984" w:type="dxa"/>
            <w:vMerge w:val="restart"/>
          </w:tcPr>
          <w:p w14:paraId="567EA8DB" w14:textId="77777777" w:rsidR="00DC10BC" w:rsidRDefault="00DC10BC" w:rsidP="00E35832">
            <w:r w:rsidRPr="0091490C">
              <w:t>Look for small, repeated opportunities to embed careers discussions (e.g. every classroom has a display)</w:t>
            </w:r>
            <w:r>
              <w:t>.</w:t>
            </w:r>
            <w:r w:rsidRPr="0091490C">
              <w:t xml:space="preserve"> Prioritise activities that careers staff need to be involved with (e.g. careers interviews), and provide detailed resources /suitable weblinks/training to support delivery of more generic activities (e.g. employability skills) by non-careers staff</w:t>
            </w:r>
            <w:r>
              <w:t xml:space="preserve">. </w:t>
            </w:r>
          </w:p>
          <w:p w14:paraId="00FF214C" w14:textId="77777777" w:rsidR="00DC10BC" w:rsidRDefault="00DC10BC" w:rsidP="00E35832">
            <w:r w:rsidRPr="0091490C">
              <w:lastRenderedPageBreak/>
              <w:t>Link up on existing activities e.g. parents evenings</w:t>
            </w:r>
            <w:r>
              <w:t>.</w:t>
            </w:r>
          </w:p>
          <w:p w14:paraId="0A024BAE" w14:textId="77777777" w:rsidR="00DC10BC" w:rsidRDefault="00DC10BC" w:rsidP="00E35832">
            <w:r w:rsidRPr="0091490C">
              <w:t>Request time at staff meetings/study days for input from whole school with resources</w:t>
            </w:r>
          </w:p>
          <w:p w14:paraId="1FEC9339" w14:textId="36E6561E" w:rsidR="008B6F6F" w:rsidRDefault="008B6F6F" w:rsidP="00E35832">
            <w:r>
              <w:t>Involve students in creating content for displays and choosing speakers.</w:t>
            </w:r>
          </w:p>
        </w:tc>
        <w:tc>
          <w:tcPr>
            <w:tcW w:w="1560" w:type="dxa"/>
          </w:tcPr>
          <w:p w14:paraId="51D8B72A" w14:textId="5D31E65F" w:rsidR="00DC10BC" w:rsidRDefault="008B6F6F" w:rsidP="00E35832">
            <w:r>
              <w:lastRenderedPageBreak/>
              <w:t>Over an</w:t>
            </w:r>
            <w:r w:rsidR="002B4E56">
              <w:t xml:space="preserve"> </w:t>
            </w:r>
            <w:r>
              <w:t>ac</w:t>
            </w:r>
            <w:r w:rsidR="007418C3">
              <w:t>ademic year</w:t>
            </w:r>
          </w:p>
        </w:tc>
        <w:tc>
          <w:tcPr>
            <w:tcW w:w="1416" w:type="dxa"/>
          </w:tcPr>
          <w:p w14:paraId="15F6378A" w14:textId="0B34A1E2" w:rsidR="00DC10BC" w:rsidRDefault="008B6F6F" w:rsidP="00E35832">
            <w:r>
              <w:t>Careers department/PSHCE lead/Head of departments</w:t>
            </w:r>
          </w:p>
        </w:tc>
        <w:tc>
          <w:tcPr>
            <w:tcW w:w="1945" w:type="dxa"/>
          </w:tcPr>
          <w:p w14:paraId="4928FEBB" w14:textId="77777777" w:rsidR="00DC10BC" w:rsidRDefault="00DC10BC" w:rsidP="00E35832">
            <w:r>
              <w:t>Track and review careers input for each class each year; use student voice for feedback; gaps identified and acted upon.</w:t>
            </w:r>
          </w:p>
          <w:p w14:paraId="1DF11787" w14:textId="77777777" w:rsidR="00DC10BC" w:rsidRDefault="00DC10BC" w:rsidP="00E35832">
            <w:r>
              <w:t>Audit interactions with students for gender bias from them, you, resources.</w:t>
            </w:r>
          </w:p>
          <w:p w14:paraId="62E41083" w14:textId="77777777" w:rsidR="00DC10BC" w:rsidRDefault="00DC10BC" w:rsidP="00E35832">
            <w:r>
              <w:t>Displays and resources are audited for gender bias (e.g. male engineer, female nurse).</w:t>
            </w:r>
          </w:p>
          <w:p w14:paraId="4A9FC731" w14:textId="77777777" w:rsidR="00DC10BC" w:rsidRDefault="00DC10BC" w:rsidP="00E35832">
            <w:r>
              <w:t>Interviews have list of standard questions to reduce bias.</w:t>
            </w:r>
          </w:p>
          <w:p w14:paraId="21BD5E30" w14:textId="1953074A" w:rsidR="00DC10BC" w:rsidRDefault="00DC10BC" w:rsidP="00E35832">
            <w:r>
              <w:lastRenderedPageBreak/>
              <w:t>External speakers chosen to challenge gender bias.</w:t>
            </w:r>
          </w:p>
        </w:tc>
      </w:tr>
      <w:tr w:rsidR="00DC10BC" w14:paraId="2761DEF6" w14:textId="77777777" w:rsidTr="00CB0268">
        <w:trPr>
          <w:trHeight w:val="1899"/>
        </w:trPr>
        <w:tc>
          <w:tcPr>
            <w:tcW w:w="1944" w:type="dxa"/>
          </w:tcPr>
          <w:p w14:paraId="70B35D34" w14:textId="214B6937" w:rsidR="00DC10BC" w:rsidRDefault="00DC10BC" w:rsidP="00CB0268">
            <w:r>
              <w:lastRenderedPageBreak/>
              <w:t>Need for wider involvement of parents/carers in careers education.</w:t>
            </w:r>
          </w:p>
          <w:p w14:paraId="25658E3F" w14:textId="77777777" w:rsidR="00DC10BC" w:rsidRDefault="00DC10BC" w:rsidP="00E35832"/>
        </w:tc>
        <w:tc>
          <w:tcPr>
            <w:tcW w:w="2877" w:type="dxa"/>
          </w:tcPr>
          <w:p w14:paraId="440EC334" w14:textId="4B1FFC35" w:rsidR="00DC10BC" w:rsidRDefault="00DC10BC" w:rsidP="00E35832">
            <w:pPr>
              <w:spacing w:after="0" w:line="240" w:lineRule="auto"/>
            </w:pPr>
            <w:r>
              <w:t>Communicate with parents every year about careers e.g. include a gender-audited information stall at parents’ evening; invite parents for careers information session at the start of Y9 and Y11 to help them prepare students for their options choices.</w:t>
            </w:r>
          </w:p>
        </w:tc>
        <w:tc>
          <w:tcPr>
            <w:tcW w:w="1842" w:type="dxa"/>
          </w:tcPr>
          <w:p w14:paraId="05638433" w14:textId="606B89A6" w:rsidR="00DC10BC" w:rsidRDefault="00DC10BC" w:rsidP="00E35832">
            <w:pPr>
              <w:spacing w:after="0" w:line="240" w:lineRule="auto"/>
            </w:pPr>
            <w:r>
              <w:t>Parents/carers are more involved in careers education and subject/career choices.</w:t>
            </w:r>
          </w:p>
        </w:tc>
        <w:tc>
          <w:tcPr>
            <w:tcW w:w="1985" w:type="dxa"/>
            <w:vMerge/>
          </w:tcPr>
          <w:p w14:paraId="55D357FE" w14:textId="77777777" w:rsidR="00DC10BC" w:rsidRDefault="00DC10BC" w:rsidP="00E35832"/>
        </w:tc>
        <w:tc>
          <w:tcPr>
            <w:tcW w:w="1984" w:type="dxa"/>
            <w:vMerge/>
          </w:tcPr>
          <w:p w14:paraId="27E37F58" w14:textId="77777777" w:rsidR="00DC10BC" w:rsidRDefault="00DC10BC" w:rsidP="00E35832"/>
        </w:tc>
        <w:tc>
          <w:tcPr>
            <w:tcW w:w="1560" w:type="dxa"/>
          </w:tcPr>
          <w:p w14:paraId="5D99252A" w14:textId="11DE3D80" w:rsidR="00DC10BC" w:rsidRDefault="007418C3" w:rsidP="00E35832">
            <w:r>
              <w:t>Autumn term</w:t>
            </w:r>
          </w:p>
        </w:tc>
        <w:tc>
          <w:tcPr>
            <w:tcW w:w="1416" w:type="dxa"/>
          </w:tcPr>
          <w:p w14:paraId="5733A010" w14:textId="56C66C08" w:rsidR="00DC10BC" w:rsidRDefault="00DC10BC" w:rsidP="00E35832">
            <w:r>
              <w:t>Careers department/ parents +carers/ students</w:t>
            </w:r>
          </w:p>
        </w:tc>
        <w:tc>
          <w:tcPr>
            <w:tcW w:w="1945" w:type="dxa"/>
          </w:tcPr>
          <w:p w14:paraId="3A871B22" w14:textId="77777777" w:rsidR="00DC10BC" w:rsidRDefault="00DC10BC" w:rsidP="00E35832">
            <w:r>
              <w:t xml:space="preserve">Number of parents/carers participating in information sessions and going to stall at parents’ evening. </w:t>
            </w:r>
          </w:p>
          <w:p w14:paraId="72905D8D" w14:textId="01E245E2" w:rsidR="00DC10BC" w:rsidRDefault="00DC10BC" w:rsidP="00E35832">
            <w:r>
              <w:t>Survey of student career aspirations shows reduction in  gender bias.</w:t>
            </w:r>
          </w:p>
        </w:tc>
      </w:tr>
      <w:tr w:rsidR="00DC10BC" w14:paraId="70C9EBB5" w14:textId="77777777" w:rsidTr="00CB0268">
        <w:trPr>
          <w:trHeight w:val="1899"/>
        </w:trPr>
        <w:tc>
          <w:tcPr>
            <w:tcW w:w="1944" w:type="dxa"/>
          </w:tcPr>
          <w:p w14:paraId="5E58625B" w14:textId="0D6465C9" w:rsidR="00DC10BC" w:rsidRDefault="00DC10BC" w:rsidP="00CB0268">
            <w:r>
              <w:t>Not everyone in school is aware of their role in supporting careers education for all year groups</w:t>
            </w:r>
          </w:p>
        </w:tc>
        <w:tc>
          <w:tcPr>
            <w:tcW w:w="2877" w:type="dxa"/>
          </w:tcPr>
          <w:p w14:paraId="7FC230AB" w14:textId="6BB02BD0" w:rsidR="00DC10BC" w:rsidRDefault="00DC10BC" w:rsidP="00E35832">
            <w:pPr>
              <w:spacing w:after="0" w:line="240" w:lineRule="auto"/>
            </w:pPr>
            <w:r>
              <w:t>Prepare scheme of work with gender-audited,  flexible lesson plans for non-careers staff to deliver - use ample detail to encourage effective delivery (e.g. choice of activities/links to video clips/</w:t>
            </w:r>
            <w:proofErr w:type="spellStart"/>
            <w:r>
              <w:t>webquests</w:t>
            </w:r>
            <w:proofErr w:type="spellEnd"/>
            <w:r>
              <w:t xml:space="preserve"> and suggestions on how to use these productively etc)</w:t>
            </w:r>
          </w:p>
        </w:tc>
        <w:tc>
          <w:tcPr>
            <w:tcW w:w="1842" w:type="dxa"/>
          </w:tcPr>
          <w:p w14:paraId="57D21ABD" w14:textId="1BEEDBED" w:rsidR="00DC10BC" w:rsidRDefault="00DC10BC" w:rsidP="00E35832">
            <w:pPr>
              <w:spacing w:after="0" w:line="240" w:lineRule="auto"/>
            </w:pPr>
            <w:r>
              <w:t>Everyone in school aware of and supported in their role in supporting careers education for all year groups</w:t>
            </w:r>
          </w:p>
        </w:tc>
        <w:tc>
          <w:tcPr>
            <w:tcW w:w="1985" w:type="dxa"/>
            <w:vMerge/>
          </w:tcPr>
          <w:p w14:paraId="3258A000" w14:textId="77777777" w:rsidR="00DC10BC" w:rsidRDefault="00DC10BC" w:rsidP="00E35832"/>
        </w:tc>
        <w:tc>
          <w:tcPr>
            <w:tcW w:w="1984" w:type="dxa"/>
            <w:vMerge/>
          </w:tcPr>
          <w:p w14:paraId="0CFEE397" w14:textId="77777777" w:rsidR="00DC10BC" w:rsidRDefault="00DC10BC" w:rsidP="00E35832"/>
        </w:tc>
        <w:tc>
          <w:tcPr>
            <w:tcW w:w="1560" w:type="dxa"/>
          </w:tcPr>
          <w:p w14:paraId="296DC530" w14:textId="47214471" w:rsidR="00DC10BC" w:rsidRDefault="007418C3" w:rsidP="00E35832">
            <w:r>
              <w:t>Ready for delivery in next academic year.</w:t>
            </w:r>
          </w:p>
        </w:tc>
        <w:tc>
          <w:tcPr>
            <w:tcW w:w="1416" w:type="dxa"/>
          </w:tcPr>
          <w:p w14:paraId="73329827" w14:textId="14C93D8F" w:rsidR="00DC10BC" w:rsidRDefault="00DC10BC" w:rsidP="00E35832">
            <w:r>
              <w:t>Careers department, form teachers and subject/ support staff</w:t>
            </w:r>
          </w:p>
        </w:tc>
        <w:tc>
          <w:tcPr>
            <w:tcW w:w="1945" w:type="dxa"/>
          </w:tcPr>
          <w:p w14:paraId="77040893" w14:textId="737F311F" w:rsidR="00DC10BC" w:rsidRDefault="00DC10BC" w:rsidP="00E35832">
            <w:r>
              <w:t xml:space="preserve">Scheme of work is implemented (audit of lessons in different subject areas). </w:t>
            </w:r>
          </w:p>
        </w:tc>
      </w:tr>
    </w:tbl>
    <w:p w14:paraId="363D1DBA" w14:textId="77777777" w:rsidR="007E07E0" w:rsidRDefault="007E07E0" w:rsidP="00D6703B"/>
    <w:sectPr w:rsidR="007E07E0" w:rsidSect="00F9475D">
      <w:pgSz w:w="16838" w:h="11906" w:orient="landscape"/>
      <w:pgMar w:top="1440" w:right="1440" w:bottom="8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6871C" w14:textId="77777777" w:rsidR="00F9475D" w:rsidRDefault="00F9475D" w:rsidP="007E07E0">
      <w:pPr>
        <w:spacing w:after="0" w:line="240" w:lineRule="auto"/>
      </w:pPr>
      <w:r>
        <w:separator/>
      </w:r>
    </w:p>
  </w:endnote>
  <w:endnote w:type="continuationSeparator" w:id="0">
    <w:p w14:paraId="08A4DAE8" w14:textId="77777777" w:rsidR="00F9475D" w:rsidRDefault="00F9475D" w:rsidP="007E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8ED6" w14:textId="77777777" w:rsidR="00996D30" w:rsidRDefault="00996D30" w:rsidP="00D570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9A91C" w14:textId="77777777" w:rsidR="00996D30" w:rsidRDefault="00996D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341" w14:textId="77777777" w:rsidR="00996D30" w:rsidRDefault="00996D30" w:rsidP="00D570D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41E">
      <w:rPr>
        <w:rStyle w:val="PageNumber"/>
        <w:noProof/>
      </w:rPr>
      <w:t>6</w:t>
    </w:r>
    <w:r>
      <w:rPr>
        <w:rStyle w:val="PageNumber"/>
      </w:rPr>
      <w:fldChar w:fldCharType="end"/>
    </w:r>
  </w:p>
  <w:p w14:paraId="47B5FF95" w14:textId="77777777" w:rsidR="00996D30" w:rsidRDefault="00996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51FB1" w14:textId="77777777" w:rsidR="00F9475D" w:rsidRDefault="00F9475D" w:rsidP="007E07E0">
      <w:pPr>
        <w:spacing w:after="0" w:line="240" w:lineRule="auto"/>
      </w:pPr>
      <w:r>
        <w:separator/>
      </w:r>
    </w:p>
  </w:footnote>
  <w:footnote w:type="continuationSeparator" w:id="0">
    <w:p w14:paraId="2921B994" w14:textId="77777777" w:rsidR="00F9475D" w:rsidRDefault="00F9475D" w:rsidP="007E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F32F" w14:textId="77777777" w:rsidR="002F3EC9" w:rsidRDefault="002F3EC9">
    <w:pPr>
      <w:pStyle w:val="Header"/>
    </w:pPr>
    <w:r>
      <w:rPr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38F8D" wp14:editId="7BB6DBB4">
              <wp:simplePos x="0" y="0"/>
              <wp:positionH relativeFrom="column">
                <wp:posOffset>7150735</wp:posOffset>
              </wp:positionH>
              <wp:positionV relativeFrom="paragraph">
                <wp:posOffset>-331470</wp:posOffset>
              </wp:positionV>
              <wp:extent cx="2517775" cy="685165"/>
              <wp:effectExtent l="0" t="0" r="0" b="63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685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C07207" w14:textId="77777777" w:rsidR="002F3EC9" w:rsidRDefault="002F3EC9" w:rsidP="002F3EC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1537BC3" wp14:editId="7ABFA727">
                                <wp:extent cx="2500457" cy="710119"/>
                                <wp:effectExtent l="0" t="0" r="0" b="127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ender-Action-larg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01179" cy="7103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38F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3.05pt;margin-top:-26.1pt;width:198.2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" filled="f" stroked="f">
              <v:textbox>
                <w:txbxContent>
                  <w:p w14:paraId="34C07207" w14:textId="77777777" w:rsidR="002F3EC9" w:rsidRDefault="002F3EC9" w:rsidP="002F3EC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1537BC3" wp14:editId="7ABFA727">
                          <wp:extent cx="2500457" cy="710119"/>
                          <wp:effectExtent l="0" t="0" r="0" b="127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ender-Action-large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01179" cy="7103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E43A5"/>
    <w:multiLevelType w:val="hybridMultilevel"/>
    <w:tmpl w:val="D4A6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0521"/>
    <w:multiLevelType w:val="hybridMultilevel"/>
    <w:tmpl w:val="33C0C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31C"/>
    <w:multiLevelType w:val="hybridMultilevel"/>
    <w:tmpl w:val="7A50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E5982"/>
    <w:multiLevelType w:val="hybridMultilevel"/>
    <w:tmpl w:val="249E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F2D1B"/>
    <w:multiLevelType w:val="hybridMultilevel"/>
    <w:tmpl w:val="93E67ED0"/>
    <w:lvl w:ilvl="0" w:tplc="D46A6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6606A"/>
    <w:multiLevelType w:val="hybridMultilevel"/>
    <w:tmpl w:val="4EAEE0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16472"/>
    <w:multiLevelType w:val="hybridMultilevel"/>
    <w:tmpl w:val="33C0C4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E50A3"/>
    <w:multiLevelType w:val="hybridMultilevel"/>
    <w:tmpl w:val="0FB01FB6"/>
    <w:lvl w:ilvl="0" w:tplc="0824C0D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6A5777"/>
    <w:multiLevelType w:val="hybridMultilevel"/>
    <w:tmpl w:val="373C7BD0"/>
    <w:lvl w:ilvl="0" w:tplc="658C4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73BB"/>
    <w:multiLevelType w:val="hybridMultilevel"/>
    <w:tmpl w:val="FFDE6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7B0BEE"/>
    <w:multiLevelType w:val="hybridMultilevel"/>
    <w:tmpl w:val="B8D0920E"/>
    <w:lvl w:ilvl="0" w:tplc="B7B40C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01AC"/>
    <w:multiLevelType w:val="hybridMultilevel"/>
    <w:tmpl w:val="C05E67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A5FD1"/>
    <w:multiLevelType w:val="hybridMultilevel"/>
    <w:tmpl w:val="78FCF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631699">
    <w:abstractNumId w:val="7"/>
  </w:num>
  <w:num w:numId="2" w16cid:durableId="765618509">
    <w:abstractNumId w:val="9"/>
  </w:num>
  <w:num w:numId="3" w16cid:durableId="1531527484">
    <w:abstractNumId w:val="11"/>
  </w:num>
  <w:num w:numId="4" w16cid:durableId="1719475572">
    <w:abstractNumId w:val="5"/>
  </w:num>
  <w:num w:numId="5" w16cid:durableId="1591430835">
    <w:abstractNumId w:val="10"/>
  </w:num>
  <w:num w:numId="6" w16cid:durableId="907112819">
    <w:abstractNumId w:val="1"/>
  </w:num>
  <w:num w:numId="7" w16cid:durableId="1314289196">
    <w:abstractNumId w:val="6"/>
  </w:num>
  <w:num w:numId="8" w16cid:durableId="1962687942">
    <w:abstractNumId w:val="12"/>
  </w:num>
  <w:num w:numId="9" w16cid:durableId="1041174224">
    <w:abstractNumId w:val="0"/>
  </w:num>
  <w:num w:numId="10" w16cid:durableId="1655716599">
    <w:abstractNumId w:val="3"/>
  </w:num>
  <w:num w:numId="11" w16cid:durableId="778256826">
    <w:abstractNumId w:val="8"/>
  </w:num>
  <w:num w:numId="12" w16cid:durableId="2026712857">
    <w:abstractNumId w:val="4"/>
  </w:num>
  <w:num w:numId="13" w16cid:durableId="109020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D5"/>
    <w:rsid w:val="00050BD3"/>
    <w:rsid w:val="000E76C4"/>
    <w:rsid w:val="00122A53"/>
    <w:rsid w:val="00155FD8"/>
    <w:rsid w:val="00235F25"/>
    <w:rsid w:val="00253A48"/>
    <w:rsid w:val="002B4E56"/>
    <w:rsid w:val="002F3EC9"/>
    <w:rsid w:val="00330F44"/>
    <w:rsid w:val="003949E0"/>
    <w:rsid w:val="003F341E"/>
    <w:rsid w:val="003F6D20"/>
    <w:rsid w:val="003F766A"/>
    <w:rsid w:val="00425A6F"/>
    <w:rsid w:val="00455500"/>
    <w:rsid w:val="00494CBE"/>
    <w:rsid w:val="004B1081"/>
    <w:rsid w:val="004B3F60"/>
    <w:rsid w:val="004B5FD5"/>
    <w:rsid w:val="0053649F"/>
    <w:rsid w:val="005B4413"/>
    <w:rsid w:val="0061411E"/>
    <w:rsid w:val="00720F7D"/>
    <w:rsid w:val="007418C3"/>
    <w:rsid w:val="0077695D"/>
    <w:rsid w:val="007A0F65"/>
    <w:rsid w:val="007B0154"/>
    <w:rsid w:val="007C09E3"/>
    <w:rsid w:val="007D2361"/>
    <w:rsid w:val="007E07E0"/>
    <w:rsid w:val="007F3557"/>
    <w:rsid w:val="00862743"/>
    <w:rsid w:val="008A1DCE"/>
    <w:rsid w:val="008B0190"/>
    <w:rsid w:val="008B6F6F"/>
    <w:rsid w:val="008C6932"/>
    <w:rsid w:val="008D7DED"/>
    <w:rsid w:val="008E04E6"/>
    <w:rsid w:val="0091490C"/>
    <w:rsid w:val="00931A92"/>
    <w:rsid w:val="009753A9"/>
    <w:rsid w:val="00981A41"/>
    <w:rsid w:val="00996D30"/>
    <w:rsid w:val="009C5E53"/>
    <w:rsid w:val="00A20891"/>
    <w:rsid w:val="00A8449B"/>
    <w:rsid w:val="00B3611B"/>
    <w:rsid w:val="00B667A9"/>
    <w:rsid w:val="00C13DA2"/>
    <w:rsid w:val="00C22800"/>
    <w:rsid w:val="00C742D1"/>
    <w:rsid w:val="00C806D3"/>
    <w:rsid w:val="00C879E0"/>
    <w:rsid w:val="00CB0268"/>
    <w:rsid w:val="00D54138"/>
    <w:rsid w:val="00D6703B"/>
    <w:rsid w:val="00D97A34"/>
    <w:rsid w:val="00DB12E3"/>
    <w:rsid w:val="00DC10BC"/>
    <w:rsid w:val="00DE6273"/>
    <w:rsid w:val="00E22C64"/>
    <w:rsid w:val="00E6425C"/>
    <w:rsid w:val="00EA39BB"/>
    <w:rsid w:val="00EB2033"/>
    <w:rsid w:val="00F65792"/>
    <w:rsid w:val="00F9475D"/>
    <w:rsid w:val="00FB2393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D50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B5F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D5"/>
    <w:pPr>
      <w:ind w:left="720"/>
      <w:contextualSpacing/>
    </w:pPr>
  </w:style>
  <w:style w:type="table" w:styleId="TableGrid">
    <w:name w:val="Table Grid"/>
    <w:basedOn w:val="TableNormal"/>
    <w:uiPriority w:val="39"/>
    <w:rsid w:val="004B5F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F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9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932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9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9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6932"/>
    <w:rPr>
      <w:vertAlign w:val="superscript"/>
    </w:rPr>
  </w:style>
  <w:style w:type="paragraph" w:styleId="Revision">
    <w:name w:val="Revision"/>
    <w:hidden/>
    <w:uiPriority w:val="99"/>
    <w:semiHidden/>
    <w:rsid w:val="00B3611B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36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1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3611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9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AEF23D-A3D0-094A-8DFF-9DB36604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 OneDrive</dc:creator>
  <cp:keywords/>
  <dc:description/>
  <cp:lastModifiedBy>NAS OneDrive</cp:lastModifiedBy>
  <cp:revision>3</cp:revision>
  <cp:lastPrinted>2023-04-26T15:06:00Z</cp:lastPrinted>
  <dcterms:created xsi:type="dcterms:W3CDTF">2024-04-24T13:33:00Z</dcterms:created>
  <dcterms:modified xsi:type="dcterms:W3CDTF">2024-04-24T13:36:00Z</dcterms:modified>
</cp:coreProperties>
</file>